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B87" w:rsidRDefault="00CD5B87" w:rsidP="00CD5B87">
      <w:pPr>
        <w:pStyle w:val="1"/>
        <w:rPr>
          <w:szCs w:val="18"/>
        </w:rPr>
      </w:pPr>
      <w:r>
        <w:t>(142-96-1)二丁醚的理化及危险特性表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3889"/>
        <w:gridCol w:w="2610"/>
        <w:gridCol w:w="2182"/>
      </w:tblGrid>
      <w:tr w:rsidR="00CD5B87"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标</w:t>
            </w:r>
          </w:p>
          <w:p w:rsidR="00CD5B87" w:rsidRDefault="00CD5B87" w:rsidP="0090435F">
            <w:pPr>
              <w:spacing w:line="272" w:lineRule="exact"/>
              <w:rPr>
                <w:rFonts w:ascii="宋体" w:hAnsi="宋体"/>
              </w:rPr>
            </w:pPr>
            <w:r>
              <w:rPr>
                <w:rFonts w:ascii="宋体" w:hAnsi="宋体" w:hint="eastAsia"/>
              </w:rPr>
              <w:t>识</w:t>
            </w:r>
          </w:p>
        </w:tc>
        <w:tc>
          <w:tcPr>
            <w:tcW w:w="3889"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中文名：</w:t>
            </w:r>
            <w:r>
              <w:rPr>
                <w:rFonts w:ascii="宋体" w:hAnsi="宋体" w:hint="eastAsia"/>
                <w:szCs w:val="18"/>
              </w:rPr>
              <w:t>二丁醚；丁醚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butyl ether </w:t>
            </w:r>
            <w:r>
              <w:rPr>
                <w:rFonts w:ascii="宋体" w:hAnsi="宋体" w:hint="eastAsia"/>
                <w:szCs w:val="18"/>
                <w:lang w:val="en-GB"/>
              </w:rPr>
              <w:t>；</w:t>
            </w:r>
            <w:r>
              <w:rPr>
                <w:rFonts w:ascii="宋体" w:hAnsi="宋体" w:hint="eastAsia"/>
                <w:szCs w:val="18"/>
              </w:rPr>
              <w:t>dibutyl ether</w:t>
            </w:r>
          </w:p>
        </w:tc>
      </w:tr>
      <w:tr w:rsidR="00CD5B87" w:rsidTr="0090435F">
        <w:trPr>
          <w:cantSplit/>
          <w:jc w:val="center"/>
        </w:trPr>
        <w:tc>
          <w:tcPr>
            <w:tcW w:w="493" w:type="dxa"/>
            <w:vMerge/>
            <w:tcBorders>
              <w:left w:val="single" w:sz="4" w:space="0" w:color="auto"/>
              <w:right w:val="single" w:sz="4" w:space="0" w:color="auto"/>
            </w:tcBorders>
            <w:vAlign w:val="center"/>
          </w:tcPr>
          <w:p w:rsidR="00CD5B87" w:rsidRDefault="00CD5B87" w:rsidP="0090435F">
            <w:pPr>
              <w:spacing w:line="27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8</w:t>
            </w:r>
            <w:r>
              <w:rPr>
                <w:rFonts w:ascii="宋体" w:hAnsi="宋体" w:hint="eastAsia"/>
                <w:szCs w:val="18"/>
              </w:rPr>
              <w:t>H</w:t>
            </w:r>
            <w:r>
              <w:rPr>
                <w:rFonts w:ascii="宋体" w:hAnsi="宋体" w:hint="eastAsia"/>
                <w:szCs w:val="18"/>
                <w:vertAlign w:val="subscript"/>
              </w:rPr>
              <w:t>18</w:t>
            </w:r>
            <w:r>
              <w:rPr>
                <w:rFonts w:ascii="宋体" w:hAnsi="宋体" w:hint="eastAsia"/>
                <w:szCs w:val="18"/>
              </w:rPr>
              <w:t>O</w:t>
            </w:r>
          </w:p>
        </w:tc>
        <w:tc>
          <w:tcPr>
            <w:tcW w:w="2610"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color w:val="FF6600"/>
              </w:rPr>
            </w:pPr>
            <w:r>
              <w:rPr>
                <w:rFonts w:ascii="宋体" w:hAnsi="宋体" w:hint="eastAsia"/>
              </w:rPr>
              <w:t>分子量：130.23</w:t>
            </w:r>
          </w:p>
        </w:tc>
        <w:tc>
          <w:tcPr>
            <w:tcW w:w="2182"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UN编号：1149</w:t>
            </w:r>
          </w:p>
        </w:tc>
      </w:tr>
      <w:tr w:rsidR="00CD5B87" w:rsidTr="0090435F">
        <w:trPr>
          <w:cantSplit/>
          <w:jc w:val="center"/>
        </w:trPr>
        <w:tc>
          <w:tcPr>
            <w:tcW w:w="493" w:type="dxa"/>
            <w:vMerge/>
            <w:tcBorders>
              <w:left w:val="single" w:sz="4" w:space="0" w:color="auto"/>
              <w:right w:val="single" w:sz="4" w:space="0" w:color="auto"/>
            </w:tcBorders>
            <w:vAlign w:val="center"/>
          </w:tcPr>
          <w:p w:rsidR="00CD5B87" w:rsidRDefault="00CD5B87" w:rsidP="0090435F">
            <w:pPr>
              <w:spacing w:line="27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危险类别：第3.3类高闪点易燃液体</w:t>
            </w:r>
          </w:p>
        </w:tc>
        <w:tc>
          <w:tcPr>
            <w:tcW w:w="2610"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危规号： 33565</w:t>
            </w:r>
          </w:p>
        </w:tc>
        <w:tc>
          <w:tcPr>
            <w:tcW w:w="2182"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CAS号：142-96-1</w:t>
            </w:r>
          </w:p>
        </w:tc>
      </w:tr>
      <w:tr w:rsidR="00CD5B87" w:rsidTr="0090435F">
        <w:trPr>
          <w:cantSplit/>
          <w:jc w:val="center"/>
        </w:trPr>
        <w:tc>
          <w:tcPr>
            <w:tcW w:w="493" w:type="dxa"/>
            <w:vMerge/>
            <w:tcBorders>
              <w:left w:val="single" w:sz="4" w:space="0" w:color="auto"/>
              <w:bottom w:val="nil"/>
              <w:right w:val="single" w:sz="4" w:space="0" w:color="auto"/>
            </w:tcBorders>
            <w:vAlign w:val="center"/>
          </w:tcPr>
          <w:p w:rsidR="00CD5B87" w:rsidRDefault="00CD5B87" w:rsidP="0090435F">
            <w:pPr>
              <w:spacing w:line="27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包装标志：易燃液体</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包装类别：Ⅲ类</w:t>
            </w:r>
          </w:p>
        </w:tc>
      </w:tr>
      <w:tr w:rsidR="00CD5B87"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理</w:t>
            </w:r>
          </w:p>
          <w:p w:rsidR="00CD5B87" w:rsidRDefault="00CD5B87" w:rsidP="0090435F">
            <w:pPr>
              <w:spacing w:line="272" w:lineRule="exact"/>
              <w:rPr>
                <w:rFonts w:ascii="宋体" w:hAnsi="宋体"/>
              </w:rPr>
            </w:pPr>
            <w:r>
              <w:rPr>
                <w:rFonts w:ascii="宋体" w:hAnsi="宋体" w:hint="eastAsia"/>
              </w:rPr>
              <w:t>化</w:t>
            </w:r>
          </w:p>
          <w:p w:rsidR="00CD5B87" w:rsidRDefault="00CD5B87" w:rsidP="0090435F">
            <w:pPr>
              <w:spacing w:line="272" w:lineRule="exact"/>
              <w:rPr>
                <w:rFonts w:ascii="宋体" w:hAnsi="宋体"/>
              </w:rPr>
            </w:pPr>
            <w:r>
              <w:rPr>
                <w:rFonts w:ascii="宋体" w:hAnsi="宋体" w:hint="eastAsia"/>
              </w:rPr>
              <w:t>性</w:t>
            </w:r>
          </w:p>
          <w:p w:rsidR="00CD5B87" w:rsidRDefault="00CD5B87" w:rsidP="0090435F">
            <w:pPr>
              <w:spacing w:line="272"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外观与性状：</w:t>
            </w:r>
            <w:r>
              <w:rPr>
                <w:rFonts w:ascii="_x000B__x000C_" w:hAnsi="_x000B__x000C_" w:hint="eastAsia"/>
                <w:szCs w:val="18"/>
              </w:rPr>
              <w:t>无色液体，微有乙醚气味。</w:t>
            </w:r>
          </w:p>
        </w:tc>
      </w:tr>
      <w:tr w:rsidR="00CD5B87"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溶解性 ：</w:t>
            </w:r>
            <w:r>
              <w:rPr>
                <w:rFonts w:ascii="_x000B__x000C_" w:hAnsi="_x000B__x000C_" w:hint="eastAsia"/>
                <w:szCs w:val="18"/>
              </w:rPr>
              <w:t>微溶于水，溶于丙酮、二氯丙烷、汽油，可混溶于乙醇、乙醚。</w:t>
            </w:r>
          </w:p>
        </w:tc>
      </w:tr>
      <w:tr w:rsidR="00CD5B87"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熔点（℃）：-95.4</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沸点（℃）：</w:t>
            </w:r>
            <w:r>
              <w:rPr>
                <w:rFonts w:ascii="宋体" w:hAnsi="宋体" w:hint="eastAsia"/>
                <w:szCs w:val="18"/>
              </w:rPr>
              <w:t>142.4</w:t>
            </w:r>
          </w:p>
        </w:tc>
      </w:tr>
      <w:tr w:rsidR="00CD5B87"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相对密度（水＝1）：0.77</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相对密度（空气＝1）：4.48</w:t>
            </w:r>
          </w:p>
        </w:tc>
      </w:tr>
      <w:tr w:rsidR="00CD5B87"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饱和蒸气压（kPa</w:t>
            </w:r>
            <w:r>
              <w:rPr>
                <w:rFonts w:ascii="宋体" w:hAnsi="宋体"/>
              </w:rPr>
              <w:t>）</w:t>
            </w:r>
            <w:r>
              <w:rPr>
                <w:rFonts w:ascii="宋体" w:hAnsi="宋体" w:hint="eastAsia"/>
              </w:rPr>
              <w:t>:1.93（29.7℃）</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燃烧热（kJ/mol）：无资料</w:t>
            </w:r>
          </w:p>
        </w:tc>
      </w:tr>
      <w:tr w:rsidR="00CD5B87"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临界温度（℃）：</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临界压力（MPa）：</w:t>
            </w:r>
          </w:p>
        </w:tc>
      </w:tr>
      <w:tr w:rsidR="00CD5B87"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燃</w:t>
            </w:r>
          </w:p>
          <w:p w:rsidR="00CD5B87" w:rsidRDefault="00CD5B87" w:rsidP="0090435F">
            <w:pPr>
              <w:spacing w:line="272" w:lineRule="exact"/>
              <w:rPr>
                <w:rFonts w:ascii="宋体" w:hAnsi="宋体"/>
              </w:rPr>
            </w:pPr>
            <w:r>
              <w:rPr>
                <w:rFonts w:ascii="宋体" w:hAnsi="宋体" w:hint="eastAsia"/>
              </w:rPr>
              <w:t>烧</w:t>
            </w:r>
          </w:p>
          <w:p w:rsidR="00CD5B87" w:rsidRDefault="00CD5B87" w:rsidP="0090435F">
            <w:pPr>
              <w:spacing w:line="272" w:lineRule="exact"/>
              <w:rPr>
                <w:rFonts w:ascii="宋体" w:hAnsi="宋体"/>
              </w:rPr>
            </w:pPr>
            <w:r>
              <w:rPr>
                <w:rFonts w:ascii="宋体" w:hAnsi="宋体" w:hint="eastAsia"/>
              </w:rPr>
              <w:t>爆</w:t>
            </w:r>
          </w:p>
          <w:p w:rsidR="00CD5B87" w:rsidRDefault="00CD5B87" w:rsidP="0090435F">
            <w:pPr>
              <w:spacing w:line="272" w:lineRule="exact"/>
              <w:rPr>
                <w:rFonts w:ascii="宋体" w:hAnsi="宋体"/>
              </w:rPr>
            </w:pPr>
            <w:r>
              <w:rPr>
                <w:rFonts w:ascii="宋体" w:hAnsi="宋体" w:hint="eastAsia"/>
              </w:rPr>
              <w:t>炸</w:t>
            </w:r>
          </w:p>
          <w:p w:rsidR="00CD5B87" w:rsidRDefault="00CD5B87" w:rsidP="0090435F">
            <w:pPr>
              <w:spacing w:line="272" w:lineRule="exact"/>
              <w:rPr>
                <w:rFonts w:ascii="宋体" w:hAnsi="宋体"/>
              </w:rPr>
            </w:pPr>
            <w:r>
              <w:rPr>
                <w:rFonts w:ascii="宋体" w:hAnsi="宋体" w:hint="eastAsia"/>
              </w:rPr>
              <w:t>危</w:t>
            </w:r>
          </w:p>
          <w:p w:rsidR="00CD5B87" w:rsidRDefault="00CD5B87" w:rsidP="0090435F">
            <w:pPr>
              <w:spacing w:line="272" w:lineRule="exact"/>
              <w:rPr>
                <w:rFonts w:ascii="宋体" w:hAnsi="宋体"/>
              </w:rPr>
            </w:pPr>
            <w:r>
              <w:rPr>
                <w:rFonts w:ascii="宋体" w:hAnsi="宋体" w:hint="eastAsia"/>
              </w:rPr>
              <w:t>险</w:t>
            </w:r>
          </w:p>
          <w:p w:rsidR="00CD5B87" w:rsidRDefault="00CD5B87" w:rsidP="0090435F">
            <w:pPr>
              <w:spacing w:line="272" w:lineRule="exact"/>
              <w:rPr>
                <w:rFonts w:ascii="宋体" w:hAnsi="宋体"/>
              </w:rPr>
            </w:pPr>
            <w:r>
              <w:rPr>
                <w:rFonts w:ascii="宋体" w:hAnsi="宋体" w:hint="eastAsia"/>
              </w:rPr>
              <w:t>性</w:t>
            </w:r>
          </w:p>
        </w:tc>
        <w:tc>
          <w:tcPr>
            <w:tcW w:w="3889"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燃烧性： 易燃</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闪点（℃）：25</w:t>
            </w:r>
          </w:p>
        </w:tc>
      </w:tr>
      <w:tr w:rsidR="00CD5B87" w:rsidTr="0090435F">
        <w:trPr>
          <w:cantSplit/>
          <w:jc w:val="center"/>
        </w:trPr>
        <w:tc>
          <w:tcPr>
            <w:tcW w:w="493" w:type="dxa"/>
            <w:vMerge/>
            <w:tcBorders>
              <w:top w:val="single" w:sz="4" w:space="0" w:color="auto"/>
              <w:left w:val="single" w:sz="4" w:space="0" w:color="auto"/>
              <w:right w:val="single" w:sz="4" w:space="0" w:color="auto"/>
            </w:tcBorders>
            <w:vAlign w:val="center"/>
          </w:tcPr>
          <w:p w:rsidR="00CD5B87" w:rsidRDefault="00CD5B87" w:rsidP="0090435F">
            <w:pPr>
              <w:spacing w:line="27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vertAlign w:val="superscript"/>
              </w:rPr>
            </w:pPr>
            <w:r>
              <w:rPr>
                <w:rFonts w:ascii="宋体" w:hAnsi="宋体" w:hint="eastAsia"/>
              </w:rPr>
              <w:t>爆炸下限（%）：1.5</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爆炸上限（%）：7.6</w:t>
            </w:r>
          </w:p>
        </w:tc>
      </w:tr>
      <w:tr w:rsidR="00CD5B87" w:rsidTr="0090435F">
        <w:trPr>
          <w:cantSplit/>
          <w:jc w:val="center"/>
        </w:trPr>
        <w:tc>
          <w:tcPr>
            <w:tcW w:w="493" w:type="dxa"/>
            <w:vMerge/>
            <w:tcBorders>
              <w:top w:val="single" w:sz="4" w:space="0" w:color="auto"/>
              <w:left w:val="single" w:sz="4" w:space="0" w:color="auto"/>
              <w:right w:val="single" w:sz="4" w:space="0" w:color="auto"/>
            </w:tcBorders>
            <w:vAlign w:val="center"/>
          </w:tcPr>
          <w:p w:rsidR="00CD5B87" w:rsidRDefault="00CD5B87" w:rsidP="0090435F">
            <w:pPr>
              <w:spacing w:line="27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引燃温度（℃）：194.4</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最小点火能（mJ）：无资料</w:t>
            </w:r>
          </w:p>
        </w:tc>
      </w:tr>
      <w:tr w:rsidR="00CD5B87" w:rsidTr="0090435F">
        <w:trPr>
          <w:cantSplit/>
          <w:jc w:val="center"/>
        </w:trPr>
        <w:tc>
          <w:tcPr>
            <w:tcW w:w="493" w:type="dxa"/>
            <w:vMerge/>
            <w:tcBorders>
              <w:left w:val="single" w:sz="4" w:space="0" w:color="auto"/>
              <w:right w:val="single" w:sz="4" w:space="0" w:color="auto"/>
            </w:tcBorders>
            <w:vAlign w:val="center"/>
          </w:tcPr>
          <w:p w:rsidR="00CD5B87" w:rsidRDefault="00CD5B87" w:rsidP="0090435F">
            <w:pPr>
              <w:spacing w:line="27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最大爆炸压力（MPa）：无资料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稳定性：稳定</w:t>
            </w:r>
          </w:p>
        </w:tc>
      </w:tr>
      <w:tr w:rsidR="00CD5B87" w:rsidTr="0090435F">
        <w:trPr>
          <w:cantSplit/>
          <w:jc w:val="center"/>
        </w:trPr>
        <w:tc>
          <w:tcPr>
            <w:tcW w:w="493" w:type="dxa"/>
            <w:vMerge/>
            <w:tcBorders>
              <w:left w:val="single" w:sz="4" w:space="0" w:color="auto"/>
              <w:right w:val="single" w:sz="4" w:space="0" w:color="auto"/>
            </w:tcBorders>
            <w:vAlign w:val="center"/>
          </w:tcPr>
          <w:p w:rsidR="00CD5B87" w:rsidRDefault="00CD5B87" w:rsidP="0090435F">
            <w:pPr>
              <w:spacing w:line="27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 xml:space="preserve">聚合危害：不聚合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 xml:space="preserve"> </w:t>
            </w:r>
            <w:r>
              <w:rPr>
                <w:rFonts w:ascii="_x000B__x000C_" w:hAnsi="_x000B__x000C_" w:hint="eastAsia"/>
                <w:szCs w:val="18"/>
              </w:rPr>
              <w:t>一氧化碳、二氧化碳。</w:t>
            </w:r>
          </w:p>
        </w:tc>
      </w:tr>
      <w:tr w:rsidR="00CD5B87" w:rsidTr="0090435F">
        <w:trPr>
          <w:cantSplit/>
          <w:jc w:val="center"/>
        </w:trPr>
        <w:tc>
          <w:tcPr>
            <w:tcW w:w="493" w:type="dxa"/>
            <w:vMerge/>
            <w:tcBorders>
              <w:left w:val="single" w:sz="4" w:space="0" w:color="auto"/>
              <w:right w:val="single" w:sz="4" w:space="0" w:color="auto"/>
            </w:tcBorders>
            <w:vAlign w:val="center"/>
          </w:tcPr>
          <w:p w:rsidR="00CD5B87" w:rsidRDefault="00CD5B87" w:rsidP="0090435F">
            <w:pPr>
              <w:spacing w:line="272"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 xml:space="preserve">避免接触的条件：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_x000B__x000C_" w:hAnsi="_x000B__x000C_"/>
                <w:szCs w:val="18"/>
              </w:rPr>
            </w:pPr>
            <w:r>
              <w:rPr>
                <w:rFonts w:ascii="_x000B__x000C_" w:hAnsi="_x000B__x000C_" w:hint="eastAsia"/>
                <w:szCs w:val="18"/>
              </w:rPr>
              <w:t>禁忌物：强氧化剂、强酸、卤素。</w:t>
            </w:r>
          </w:p>
        </w:tc>
      </w:tr>
      <w:tr w:rsidR="00CD5B87" w:rsidTr="0090435F">
        <w:trPr>
          <w:cantSplit/>
          <w:jc w:val="center"/>
        </w:trPr>
        <w:tc>
          <w:tcPr>
            <w:tcW w:w="493" w:type="dxa"/>
            <w:vMerge/>
            <w:tcBorders>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szCs w:val="18"/>
              </w:rPr>
            </w:pPr>
            <w:r>
              <w:rPr>
                <w:rFonts w:ascii="宋体" w:hAnsi="宋体" w:hint="eastAsia"/>
                <w:szCs w:val="18"/>
              </w:rPr>
              <w:t>危险特性: 易燃，其蒸气与空气可形成爆炸性混合物，遇明火、高热极易燃烧爆炸。与氧化剂能发生强烈反应。接触空气或在光照条件下可生成具有潜在爆炸危险性的过氧化物。其蒸气比空气重，能在较低处扩散到相当远的地方，遇火源会着火回燃。</w:t>
            </w:r>
          </w:p>
        </w:tc>
      </w:tr>
      <w:tr w:rsidR="00CD5B87" w:rsidTr="0090435F">
        <w:trPr>
          <w:cantSplit/>
          <w:jc w:val="center"/>
        </w:trPr>
        <w:tc>
          <w:tcPr>
            <w:tcW w:w="493" w:type="dxa"/>
            <w:vMerge/>
            <w:tcBorders>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szCs w:val="18"/>
              </w:rPr>
            </w:pPr>
            <w:r>
              <w:rPr>
                <w:rFonts w:ascii="宋体" w:hAnsi="宋体" w:hint="eastAsia"/>
                <w:szCs w:val="18"/>
              </w:rPr>
              <w:t>灭火方法：喷水冷却容器，可能的话将容器从火场移至空旷处。灭火剂：抗溶性泡沫、二氧化碳、干粉、砂土。</w:t>
            </w:r>
          </w:p>
        </w:tc>
      </w:tr>
      <w:tr w:rsidR="00CD5B87"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毒</w:t>
            </w:r>
          </w:p>
          <w:p w:rsidR="00CD5B87" w:rsidRDefault="00CD5B87" w:rsidP="0090435F">
            <w:pPr>
              <w:spacing w:line="272"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_x000B__x000C_" w:hAnsi="_x000B__x000C_"/>
                <w:sz w:val="18"/>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11000 mg/kg(大鼠经口)；10000 mg/kg(兔经皮)</w:t>
            </w:r>
          </w:p>
          <w:p w:rsidR="00CD5B87" w:rsidRDefault="00CD5B87" w:rsidP="0090435F">
            <w:pPr>
              <w:spacing w:line="27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CD5B87"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侵入途经：吸入、食入、经皮吸收。</w:t>
            </w:r>
          </w:p>
        </w:tc>
      </w:tr>
      <w:tr w:rsidR="00CD5B87" w:rsidTr="0090435F">
        <w:trPr>
          <w:cantSplit/>
          <w:jc w:val="center"/>
        </w:trPr>
        <w:tc>
          <w:tcPr>
            <w:tcW w:w="493" w:type="dxa"/>
            <w:vMerge/>
            <w:tcBorders>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szCs w:val="18"/>
              </w:rPr>
            </w:pPr>
            <w:r>
              <w:rPr>
                <w:rFonts w:ascii="宋体" w:hAnsi="宋体" w:hint="eastAsia"/>
                <w:szCs w:val="18"/>
              </w:rPr>
              <w:t>吸入本品可致咳嗽、呼吸困难、头痛、头晕、恶心、疲乏和四肢无力。眼和皮肤接触可致灼伤。</w:t>
            </w:r>
          </w:p>
        </w:tc>
      </w:tr>
      <w:tr w:rsidR="00CD5B87" w:rsidTr="0090435F">
        <w:trPr>
          <w:cantSplit/>
          <w:jc w:val="center"/>
        </w:trPr>
        <w:tc>
          <w:tcPr>
            <w:tcW w:w="493" w:type="dxa"/>
            <w:tcBorders>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急</w:t>
            </w:r>
          </w:p>
          <w:p w:rsidR="00CD5B87" w:rsidRDefault="00CD5B87" w:rsidP="0090435F">
            <w:pPr>
              <w:spacing w:line="272"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szCs w:val="18"/>
              </w:rPr>
            </w:pPr>
            <w:r>
              <w:rPr>
                <w:rFonts w:ascii="宋体" w:hAnsi="宋体" w:hint="eastAsia"/>
                <w:szCs w:val="18"/>
              </w:rPr>
              <w:t>皮肤接触：立即脱去污染的衣着，用大量流动清水冲洗至少15分钟。就医。  ※眼睛接触：立即提起眼睑，用大量流动清水或生理盐水彻底冲洗至少15分钟。就医。   ※吸入: 迅速脱离现场至空气新鲜处。保持呼吸道通畅。如呼吸困难，给输氧。如呼吸停止，立即进行人工呼吸。就医。   ※食入: 用水漱口，给饮牛奶或蛋清。就医。</w:t>
            </w:r>
          </w:p>
        </w:tc>
      </w:tr>
      <w:tr w:rsidR="00CD5B87"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防</w:t>
            </w:r>
          </w:p>
          <w:p w:rsidR="00CD5B87" w:rsidRDefault="00CD5B87" w:rsidP="0090435F">
            <w:pPr>
              <w:spacing w:line="272"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szCs w:val="18"/>
              </w:rPr>
            </w:pPr>
            <w:r>
              <w:rPr>
                <w:rFonts w:ascii="宋体" w:hAnsi="宋体" w:hint="eastAsia"/>
                <w:szCs w:val="18"/>
              </w:rPr>
              <w:t>工程控制：生产过程密闭，全面通风。    ※呼吸系统防护：空气中浓度较高时，建议佩戴自吸过滤式防毒面具（半面罩）。   ※</w:t>
            </w:r>
            <w:r>
              <w:rPr>
                <w:rFonts w:ascii="宋体" w:hAnsi="宋体"/>
                <w:szCs w:val="18"/>
              </w:rPr>
              <w:t>眼睛防护</w:t>
            </w:r>
            <w:r>
              <w:rPr>
                <w:rFonts w:ascii="宋体" w:hAnsi="宋体" w:hint="eastAsia"/>
                <w:szCs w:val="18"/>
              </w:rPr>
              <w:t>：高浓度接触时，戴化学安全防护眼镜。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※其它：工作现场严禁吸烟。工作完毕，淋浴更衣。注意个人清洁卫生。</w:t>
            </w:r>
          </w:p>
        </w:tc>
      </w:tr>
      <w:tr w:rsidR="00CD5B87"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泄</w:t>
            </w:r>
          </w:p>
          <w:p w:rsidR="00CD5B87" w:rsidRDefault="00CD5B87" w:rsidP="0090435F">
            <w:pPr>
              <w:spacing w:line="272" w:lineRule="exact"/>
              <w:rPr>
                <w:rFonts w:ascii="宋体" w:hAnsi="宋体"/>
              </w:rPr>
            </w:pPr>
            <w:r>
              <w:rPr>
                <w:rFonts w:ascii="宋体" w:hAnsi="宋体" w:hint="eastAsia"/>
              </w:rPr>
              <w:t>漏</w:t>
            </w:r>
          </w:p>
          <w:p w:rsidR="00CD5B87" w:rsidRDefault="00CD5B87" w:rsidP="0090435F">
            <w:pPr>
              <w:spacing w:line="272" w:lineRule="exact"/>
              <w:rPr>
                <w:rFonts w:ascii="宋体" w:hAnsi="宋体"/>
              </w:rPr>
            </w:pPr>
            <w:r>
              <w:rPr>
                <w:rFonts w:ascii="宋体" w:hAnsi="宋体" w:hint="eastAsia"/>
              </w:rPr>
              <w:t>处</w:t>
            </w:r>
          </w:p>
          <w:p w:rsidR="00CD5B87" w:rsidRDefault="00CD5B87" w:rsidP="0090435F">
            <w:pPr>
              <w:spacing w:line="272"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CD5B87" w:rsidRDefault="00CD5B87" w:rsidP="0090435F">
            <w:pPr>
              <w:spacing w:line="27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或其它不燃材料吸附或吸收。或在保证安全情况下，就地焚烧。大量泄漏：构筑围堤或挖坑收容。用泡沫覆盖，抑制蒸发。用防爆泵转移至槽车或专用收集器内，回收或运至废物处理场所处置。</w:t>
            </w:r>
          </w:p>
        </w:tc>
      </w:tr>
      <w:tr w:rsidR="00CD5B87" w:rsidTr="0090435F">
        <w:trPr>
          <w:cantSplit/>
          <w:jc w:val="center"/>
        </w:trPr>
        <w:tc>
          <w:tcPr>
            <w:tcW w:w="493" w:type="dxa"/>
            <w:tcBorders>
              <w:top w:val="single" w:sz="4" w:space="0" w:color="auto"/>
              <w:left w:val="single" w:sz="4" w:space="0" w:color="auto"/>
              <w:right w:val="single" w:sz="4" w:space="0" w:color="auto"/>
            </w:tcBorders>
            <w:vAlign w:val="center"/>
          </w:tcPr>
          <w:p w:rsidR="00CD5B87" w:rsidRDefault="00CD5B87" w:rsidP="0090435F">
            <w:pPr>
              <w:spacing w:line="272" w:lineRule="exact"/>
              <w:rPr>
                <w:rFonts w:ascii="宋体" w:hAnsi="宋体"/>
              </w:rPr>
            </w:pPr>
            <w:r>
              <w:rPr>
                <w:rFonts w:ascii="宋体" w:hAnsi="宋体" w:hint="eastAsia"/>
              </w:rPr>
              <w:t>储</w:t>
            </w:r>
          </w:p>
          <w:p w:rsidR="00CD5B87" w:rsidRDefault="00CD5B87" w:rsidP="0090435F">
            <w:pPr>
              <w:spacing w:line="272"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CD5B87" w:rsidRDefault="00CD5B87" w:rsidP="0090435F">
            <w:pPr>
              <w:spacing w:line="272" w:lineRule="exact"/>
              <w:rPr>
                <w:rFonts w:ascii="宋体" w:hAnsi="宋体"/>
                <w:szCs w:val="18"/>
              </w:rPr>
            </w:pPr>
            <w:r>
              <w:rPr>
                <w:rFonts w:ascii="宋体" w:hAnsi="宋体" w:hint="eastAsia"/>
                <w:szCs w:val="18"/>
              </w:rPr>
              <w:t>储存于阴凉、通风的库房。远离火种、热源。库温不宜超过30℃。保持容器密封。应与氧化剂、酸类、卤素分开存放，切忌混储。不宜大量储存或久存。采用防爆型照明、通风设施。禁止使用易产生火花的机械设备和工具。储区应备有泄漏应急处理设备和合适的收容材料。</w:t>
            </w:r>
          </w:p>
          <w:p w:rsidR="00CD5B87" w:rsidRDefault="00CD5B87" w:rsidP="0090435F">
            <w:pPr>
              <w:spacing w:line="27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卤素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B87"/>
    <w:rsid w:val="00CD5B87"/>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880A9-8696-4353-943E-4015EE46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CD5B87"/>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D5B87"/>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1420</Characters>
  <Application>Microsoft Office Word</Application>
  <DocSecurity>0</DocSecurity>
  <Lines>11</Lines>
  <Paragraphs>3</Paragraphs>
  <ScaleCrop>false</ScaleCrop>
  <Company>zyhq</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